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317F" w14:textId="7B04BA5A" w:rsidR="00B077A0" w:rsidRPr="00617B2C" w:rsidRDefault="00617B2C">
      <w:pPr>
        <w:rPr>
          <w:rFonts w:ascii="Arial" w:hAnsi="Arial" w:cs="Arial"/>
        </w:rPr>
      </w:pPr>
      <w:r w:rsidRPr="00617B2C">
        <w:rPr>
          <w:rFonts w:ascii="Arial" w:hAnsi="Arial" w:cs="Arial"/>
        </w:rPr>
        <w:t>FOR IMMEDIATE RELEASE</w:t>
      </w:r>
    </w:p>
    <w:p w14:paraId="3B4FC9F6" w14:textId="16AA5302" w:rsidR="00617B2C" w:rsidRPr="00617B2C" w:rsidRDefault="00617B2C" w:rsidP="00617B2C">
      <w:pPr>
        <w:jc w:val="center"/>
        <w:rPr>
          <w:rFonts w:ascii="Arial" w:hAnsi="Arial" w:cs="Arial"/>
          <w:b/>
          <w:bCs/>
          <w:sz w:val="28"/>
          <w:szCs w:val="28"/>
        </w:rPr>
      </w:pPr>
      <w:r w:rsidRPr="00617B2C">
        <w:rPr>
          <w:rFonts w:ascii="Arial" w:hAnsi="Arial" w:cs="Arial"/>
          <w:b/>
          <w:bCs/>
          <w:sz w:val="28"/>
          <w:szCs w:val="28"/>
        </w:rPr>
        <w:t>iNRCORE Announces Leadership Transition</w:t>
      </w:r>
    </w:p>
    <w:p w14:paraId="426B890A" w14:textId="77777777" w:rsidR="00617B2C" w:rsidRPr="00617B2C" w:rsidRDefault="00617B2C" w:rsidP="00617B2C">
      <w:pPr>
        <w:pStyle w:val="BasicParagraph"/>
        <w:suppressAutoHyphens/>
        <w:rPr>
          <w:rFonts w:ascii="Arial" w:hAnsi="Arial" w:cs="Arial"/>
          <w:sz w:val="20"/>
          <w:szCs w:val="20"/>
        </w:rPr>
      </w:pPr>
      <w:r w:rsidRPr="00617B2C">
        <w:rPr>
          <w:rFonts w:ascii="Arial" w:hAnsi="Arial" w:cs="Arial"/>
          <w:sz w:val="20"/>
          <w:szCs w:val="20"/>
        </w:rPr>
        <w:t xml:space="preserve">Bristol, PA, April 14, 2025 - iNRCORE, LLC (“iNRCORE” or the “Company”), a premier supplier of high-reliability products including magnetics and other passive electronic components, announced that Monte </w:t>
      </w:r>
      <w:proofErr w:type="spellStart"/>
      <w:r w:rsidRPr="00617B2C">
        <w:rPr>
          <w:rFonts w:ascii="Arial" w:hAnsi="Arial" w:cs="Arial"/>
          <w:sz w:val="20"/>
          <w:szCs w:val="20"/>
        </w:rPr>
        <w:t>Hammouri</w:t>
      </w:r>
      <w:proofErr w:type="spellEnd"/>
      <w:r w:rsidRPr="00617B2C">
        <w:rPr>
          <w:rFonts w:ascii="Arial" w:hAnsi="Arial" w:cs="Arial"/>
          <w:sz w:val="20"/>
          <w:szCs w:val="20"/>
        </w:rPr>
        <w:t xml:space="preserve"> has been named CEO. He succeeds Sarah Trezza, who has decided to step down as CEO after six successful years with the Company. </w:t>
      </w:r>
    </w:p>
    <w:p w14:paraId="32751149" w14:textId="77777777" w:rsidR="00617B2C" w:rsidRPr="00617B2C" w:rsidRDefault="00617B2C" w:rsidP="00617B2C">
      <w:pPr>
        <w:pStyle w:val="BasicParagraph"/>
        <w:suppressAutoHyphens/>
        <w:rPr>
          <w:rFonts w:ascii="Arial" w:hAnsi="Arial" w:cs="Arial"/>
          <w:sz w:val="20"/>
          <w:szCs w:val="20"/>
        </w:rPr>
      </w:pPr>
    </w:p>
    <w:p w14:paraId="5024F064" w14:textId="77777777" w:rsidR="00617B2C" w:rsidRPr="00617B2C" w:rsidRDefault="00617B2C" w:rsidP="00617B2C">
      <w:pPr>
        <w:pStyle w:val="BasicParagraph"/>
        <w:suppressAutoHyphens/>
        <w:rPr>
          <w:rFonts w:ascii="Arial" w:hAnsi="Arial" w:cs="Arial"/>
          <w:sz w:val="20"/>
          <w:szCs w:val="20"/>
        </w:rPr>
      </w:pPr>
      <w:r w:rsidRPr="00617B2C">
        <w:rPr>
          <w:rFonts w:ascii="Arial" w:hAnsi="Arial" w:cs="Arial"/>
          <w:sz w:val="20"/>
          <w:szCs w:val="20"/>
        </w:rPr>
        <w:t xml:space="preserve">Mr. </w:t>
      </w:r>
      <w:proofErr w:type="spellStart"/>
      <w:r w:rsidRPr="00617B2C">
        <w:rPr>
          <w:rFonts w:ascii="Arial" w:hAnsi="Arial" w:cs="Arial"/>
          <w:sz w:val="20"/>
          <w:szCs w:val="20"/>
        </w:rPr>
        <w:t>Hammouri</w:t>
      </w:r>
      <w:proofErr w:type="spellEnd"/>
      <w:r w:rsidRPr="00617B2C">
        <w:rPr>
          <w:rFonts w:ascii="Arial" w:hAnsi="Arial" w:cs="Arial"/>
          <w:sz w:val="20"/>
          <w:szCs w:val="20"/>
        </w:rPr>
        <w:t xml:space="preserve"> has more than 30 years of experience leading and growing industrial technology companies.  Most recently, he was the CEO and Board Member of Process Insights, a leading provider of instrumentation and analytical solutions for high reliability applications. Prior to Process Insights, Mr. </w:t>
      </w:r>
      <w:proofErr w:type="spellStart"/>
      <w:r w:rsidRPr="00617B2C">
        <w:rPr>
          <w:rFonts w:ascii="Arial" w:hAnsi="Arial" w:cs="Arial"/>
          <w:sz w:val="20"/>
          <w:szCs w:val="20"/>
        </w:rPr>
        <w:t>Hammouri</w:t>
      </w:r>
      <w:proofErr w:type="spellEnd"/>
      <w:r w:rsidRPr="00617B2C">
        <w:rPr>
          <w:rFonts w:ascii="Arial" w:hAnsi="Arial" w:cs="Arial"/>
          <w:sz w:val="20"/>
          <w:szCs w:val="20"/>
        </w:rPr>
        <w:t xml:space="preserve"> was a senior executive at ITW, leading the global contamination control business and specialty materials and equipment businesses. In addition, he has held several leadership positions at IDEX, Danaher, Peterson American and Sparton.</w:t>
      </w:r>
    </w:p>
    <w:p w14:paraId="3427021F" w14:textId="77777777" w:rsidR="00617B2C" w:rsidRPr="00617B2C" w:rsidRDefault="00617B2C" w:rsidP="00617B2C">
      <w:pPr>
        <w:pStyle w:val="BasicParagraph"/>
        <w:suppressAutoHyphens/>
        <w:rPr>
          <w:rFonts w:ascii="Arial" w:hAnsi="Arial" w:cs="Arial"/>
          <w:sz w:val="20"/>
          <w:szCs w:val="20"/>
        </w:rPr>
      </w:pPr>
    </w:p>
    <w:p w14:paraId="57893847" w14:textId="77777777" w:rsidR="00617B2C" w:rsidRPr="00617B2C" w:rsidRDefault="00617B2C" w:rsidP="00617B2C">
      <w:pPr>
        <w:pStyle w:val="BasicParagraph"/>
        <w:suppressAutoHyphens/>
        <w:rPr>
          <w:rFonts w:ascii="Arial" w:hAnsi="Arial" w:cs="Arial"/>
          <w:sz w:val="20"/>
          <w:szCs w:val="20"/>
        </w:rPr>
      </w:pPr>
      <w:r w:rsidRPr="00617B2C">
        <w:rPr>
          <w:rFonts w:ascii="Arial" w:hAnsi="Arial" w:cs="Arial"/>
          <w:sz w:val="20"/>
          <w:szCs w:val="20"/>
        </w:rPr>
        <w:t xml:space="preserve">“I am honored to join iNRCORE and partner with its talented team to lead the Company into its next chapter. I see a substantial opportunity to continue to grow the business both organically through innovation and inorganically through acquisitions to provide an even more comprehensive suite of passive electronics solutions for our customers,” said Monte </w:t>
      </w:r>
      <w:proofErr w:type="spellStart"/>
      <w:r w:rsidRPr="00617B2C">
        <w:rPr>
          <w:rFonts w:ascii="Arial" w:hAnsi="Arial" w:cs="Arial"/>
          <w:sz w:val="20"/>
          <w:szCs w:val="20"/>
        </w:rPr>
        <w:t>Hammouri</w:t>
      </w:r>
      <w:proofErr w:type="spellEnd"/>
      <w:r w:rsidRPr="00617B2C">
        <w:rPr>
          <w:rFonts w:ascii="Arial" w:hAnsi="Arial" w:cs="Arial"/>
          <w:sz w:val="20"/>
          <w:szCs w:val="20"/>
        </w:rPr>
        <w:t>. “Together, we will build on the Company’s strong foundation to deliver best-in-class products and even more value to our customers and all our stakeholders.”</w:t>
      </w:r>
    </w:p>
    <w:p w14:paraId="4640CD8A" w14:textId="77777777" w:rsidR="00617B2C" w:rsidRPr="00617B2C" w:rsidRDefault="00617B2C" w:rsidP="00617B2C">
      <w:pPr>
        <w:pStyle w:val="BasicParagraph"/>
        <w:suppressAutoHyphens/>
        <w:rPr>
          <w:rFonts w:ascii="Arial" w:hAnsi="Arial" w:cs="Arial"/>
          <w:sz w:val="20"/>
          <w:szCs w:val="20"/>
        </w:rPr>
      </w:pPr>
    </w:p>
    <w:p w14:paraId="3F1A077E" w14:textId="77777777" w:rsidR="00617B2C" w:rsidRPr="00617B2C" w:rsidRDefault="00617B2C" w:rsidP="00617B2C">
      <w:pPr>
        <w:pStyle w:val="BasicParagraph"/>
        <w:suppressAutoHyphens/>
        <w:rPr>
          <w:rFonts w:ascii="Arial" w:hAnsi="Arial" w:cs="Arial"/>
          <w:sz w:val="20"/>
          <w:szCs w:val="20"/>
        </w:rPr>
      </w:pPr>
      <w:r w:rsidRPr="00617B2C">
        <w:rPr>
          <w:rFonts w:ascii="Arial" w:hAnsi="Arial" w:cs="Arial"/>
          <w:sz w:val="20"/>
          <w:szCs w:val="20"/>
        </w:rPr>
        <w:t xml:space="preserve">iNRCORE is backed by TJC, L.P. (“TJC”) and Warburg Pincus LLC (“Warburg Pincus”), both active investors in the aerospace and defense and industrial technology markets. </w:t>
      </w:r>
    </w:p>
    <w:p w14:paraId="649E36E0" w14:textId="77777777" w:rsidR="00617B2C" w:rsidRPr="00617B2C" w:rsidRDefault="00617B2C" w:rsidP="00617B2C">
      <w:pPr>
        <w:pStyle w:val="BasicParagraph"/>
        <w:suppressAutoHyphens/>
        <w:rPr>
          <w:rFonts w:ascii="Arial" w:hAnsi="Arial" w:cs="Arial"/>
          <w:sz w:val="20"/>
          <w:szCs w:val="20"/>
        </w:rPr>
      </w:pPr>
    </w:p>
    <w:p w14:paraId="24AC21DE" w14:textId="77777777" w:rsidR="00617B2C" w:rsidRPr="00617B2C" w:rsidRDefault="00617B2C" w:rsidP="00617B2C">
      <w:pPr>
        <w:pStyle w:val="BasicParagraph"/>
        <w:suppressAutoHyphens/>
        <w:rPr>
          <w:rFonts w:ascii="Arial" w:hAnsi="Arial" w:cs="Arial"/>
          <w:sz w:val="20"/>
          <w:szCs w:val="20"/>
        </w:rPr>
      </w:pPr>
      <w:r w:rsidRPr="00617B2C">
        <w:rPr>
          <w:rFonts w:ascii="Arial" w:hAnsi="Arial" w:cs="Arial"/>
          <w:sz w:val="20"/>
          <w:szCs w:val="20"/>
        </w:rPr>
        <w:t xml:space="preserve">“We are excited to welcome Monte to the iNRCORE team,” said Dan </w:t>
      </w:r>
      <w:proofErr w:type="spellStart"/>
      <w:r w:rsidRPr="00617B2C">
        <w:rPr>
          <w:rFonts w:ascii="Arial" w:hAnsi="Arial" w:cs="Arial"/>
          <w:sz w:val="20"/>
          <w:szCs w:val="20"/>
        </w:rPr>
        <w:t>Zamlong</w:t>
      </w:r>
      <w:proofErr w:type="spellEnd"/>
      <w:r w:rsidRPr="00617B2C">
        <w:rPr>
          <w:rFonts w:ascii="Arial" w:hAnsi="Arial" w:cs="Arial"/>
          <w:sz w:val="20"/>
          <w:szCs w:val="20"/>
        </w:rPr>
        <w:t>, Managing Director at Warburg Pincus. “Monte’s proven track record of driving growth and innovation, coupled with his wealth of experience in the industrial technology sector, makes him the perfect fit to lead the Company into the next phase of strategic growth.”</w:t>
      </w:r>
    </w:p>
    <w:p w14:paraId="7A9C0A1A" w14:textId="77777777" w:rsidR="00617B2C" w:rsidRPr="00617B2C" w:rsidRDefault="00617B2C" w:rsidP="00617B2C">
      <w:pPr>
        <w:pStyle w:val="BasicParagraph"/>
        <w:suppressAutoHyphens/>
        <w:rPr>
          <w:rFonts w:ascii="Arial" w:hAnsi="Arial" w:cs="Arial"/>
          <w:sz w:val="20"/>
          <w:szCs w:val="20"/>
        </w:rPr>
      </w:pPr>
    </w:p>
    <w:p w14:paraId="4F3C7A16" w14:textId="77777777" w:rsidR="00617B2C" w:rsidRDefault="00617B2C" w:rsidP="00617B2C">
      <w:pPr>
        <w:pStyle w:val="BasicParagraph"/>
        <w:suppressAutoHyphens/>
        <w:rPr>
          <w:rFonts w:ascii="Arial" w:hAnsi="Arial" w:cs="Arial"/>
          <w:sz w:val="20"/>
          <w:szCs w:val="20"/>
        </w:rPr>
      </w:pPr>
      <w:r w:rsidRPr="00617B2C">
        <w:rPr>
          <w:rFonts w:ascii="Arial" w:hAnsi="Arial" w:cs="Arial"/>
          <w:sz w:val="20"/>
          <w:szCs w:val="20"/>
        </w:rPr>
        <w:t>“We are grateful for the leadership of Sarah Trezza and for her vision in building iNRCORE into the leading platform it is today. Monte stood out as the ideal leader to guide iNRCORE forward into its next chapter and we are excited to partner with him,” said Erik Fagan, Partner, Head of Industrial Technology, at TJC.</w:t>
      </w:r>
    </w:p>
    <w:p w14:paraId="6879C360" w14:textId="77777777" w:rsidR="00617B2C" w:rsidRDefault="00617B2C" w:rsidP="00617B2C">
      <w:pPr>
        <w:pStyle w:val="BasicParagraph"/>
        <w:suppressAutoHyphens/>
        <w:rPr>
          <w:rFonts w:ascii="Arial" w:hAnsi="Arial" w:cs="Arial"/>
          <w:sz w:val="20"/>
          <w:szCs w:val="20"/>
        </w:rPr>
      </w:pPr>
    </w:p>
    <w:p w14:paraId="6AAB3AD6" w14:textId="77777777" w:rsidR="00617B2C" w:rsidRDefault="00617B2C" w:rsidP="00617B2C">
      <w:pPr>
        <w:pStyle w:val="BasicParagraph"/>
        <w:suppressAutoHyphens/>
        <w:rPr>
          <w:rFonts w:ascii="Arial" w:hAnsi="Arial" w:cs="Arial"/>
          <w:sz w:val="20"/>
          <w:szCs w:val="20"/>
        </w:rPr>
      </w:pPr>
    </w:p>
    <w:p w14:paraId="1795D7EA" w14:textId="77777777" w:rsidR="00617B2C" w:rsidRDefault="00617B2C" w:rsidP="00617B2C">
      <w:pPr>
        <w:pStyle w:val="BasicParagraph"/>
        <w:suppressAutoHyphens/>
        <w:rPr>
          <w:rFonts w:ascii="Arial" w:hAnsi="Arial" w:cs="Arial"/>
          <w:sz w:val="20"/>
          <w:szCs w:val="20"/>
        </w:rPr>
      </w:pPr>
    </w:p>
    <w:p w14:paraId="1FCD0B67" w14:textId="77777777" w:rsidR="00617B2C" w:rsidRPr="00617B2C" w:rsidRDefault="00617B2C" w:rsidP="00617B2C">
      <w:pPr>
        <w:pStyle w:val="BasicParagraph"/>
        <w:suppressAutoHyphens/>
        <w:rPr>
          <w:rFonts w:ascii="Arial" w:hAnsi="Arial" w:cs="Arial"/>
          <w:sz w:val="22"/>
          <w:szCs w:val="22"/>
        </w:rPr>
      </w:pPr>
    </w:p>
    <w:p w14:paraId="5E247488" w14:textId="77777777" w:rsidR="00617B2C" w:rsidRPr="00617B2C" w:rsidRDefault="00617B2C" w:rsidP="00617B2C">
      <w:pPr>
        <w:pStyle w:val="BasicParagraph"/>
        <w:suppressAutoHyphens/>
        <w:rPr>
          <w:rFonts w:ascii="Arial" w:hAnsi="Arial" w:cs="Arial"/>
        </w:rPr>
      </w:pPr>
    </w:p>
    <w:p w14:paraId="37977DBE" w14:textId="77777777" w:rsidR="00617B2C" w:rsidRPr="00617B2C" w:rsidRDefault="00617B2C" w:rsidP="00617B2C">
      <w:pPr>
        <w:pStyle w:val="BasicParagraph"/>
        <w:suppressAutoHyphens/>
        <w:rPr>
          <w:rFonts w:ascii="Arial" w:hAnsi="Arial" w:cs="Arial"/>
          <w:sz w:val="18"/>
          <w:szCs w:val="18"/>
        </w:rPr>
      </w:pPr>
      <w:r w:rsidRPr="00617B2C">
        <w:rPr>
          <w:rFonts w:ascii="Arial" w:hAnsi="Arial" w:cs="Arial"/>
          <w:sz w:val="18"/>
          <w:szCs w:val="18"/>
        </w:rPr>
        <w:lastRenderedPageBreak/>
        <w:t>About iNRCORE</w:t>
      </w:r>
    </w:p>
    <w:p w14:paraId="49BFB0EC" w14:textId="77777777" w:rsidR="00617B2C" w:rsidRPr="00617B2C" w:rsidRDefault="00617B2C" w:rsidP="00617B2C">
      <w:pPr>
        <w:pStyle w:val="BasicParagraph"/>
        <w:suppressAutoHyphens/>
        <w:rPr>
          <w:rFonts w:ascii="Arial" w:hAnsi="Arial" w:cs="Arial"/>
          <w:sz w:val="16"/>
          <w:szCs w:val="16"/>
        </w:rPr>
      </w:pPr>
      <w:r w:rsidRPr="00617B2C">
        <w:rPr>
          <w:rFonts w:ascii="Arial" w:hAnsi="Arial" w:cs="Arial"/>
          <w:sz w:val="16"/>
          <w:szCs w:val="16"/>
        </w:rPr>
        <w:t>For more than 70 years, iNRCORE has designed and manufactured magnetic components that transmit high-speed, mission-critical signals and power in the harshest operating conditions. Designed to the tightest specifications and to military standards, iNRCORE components have operated on the frontlines of defense to the frontiers of space exploration. The iNRCORE Family of Brands include Vanguard Electronics, Gowanda Electronics, DYCO Electronics, HiSonic, TTE Filters, RCD Components, Bicron Electronics, Coast Magnetics, and Sentran. iNRCORE is ITAR registered and certified to AS9100 and ISO 9001 quality standards.</w:t>
      </w:r>
    </w:p>
    <w:p w14:paraId="59F331D6" w14:textId="77777777" w:rsidR="00617B2C" w:rsidRPr="00617B2C" w:rsidRDefault="00617B2C" w:rsidP="00617B2C">
      <w:pPr>
        <w:pStyle w:val="BasicParagraph"/>
        <w:suppressAutoHyphens/>
        <w:rPr>
          <w:rFonts w:ascii="Arial" w:hAnsi="Arial" w:cs="Arial"/>
          <w:sz w:val="18"/>
          <w:szCs w:val="18"/>
        </w:rPr>
      </w:pPr>
    </w:p>
    <w:p w14:paraId="61CBD25B" w14:textId="77777777" w:rsidR="00617B2C" w:rsidRPr="00617B2C" w:rsidRDefault="00617B2C" w:rsidP="00617B2C">
      <w:pPr>
        <w:pStyle w:val="BasicParagraph"/>
        <w:suppressAutoHyphens/>
        <w:rPr>
          <w:rFonts w:ascii="Arial" w:hAnsi="Arial" w:cs="Arial"/>
          <w:sz w:val="18"/>
          <w:szCs w:val="18"/>
        </w:rPr>
      </w:pPr>
      <w:r w:rsidRPr="00617B2C">
        <w:rPr>
          <w:rFonts w:ascii="Arial" w:hAnsi="Arial" w:cs="Arial"/>
          <w:sz w:val="18"/>
          <w:szCs w:val="18"/>
        </w:rPr>
        <w:t>About TJC</w:t>
      </w:r>
    </w:p>
    <w:p w14:paraId="6351D150" w14:textId="77777777" w:rsidR="00617B2C" w:rsidRPr="00617B2C" w:rsidRDefault="00617B2C" w:rsidP="00617B2C">
      <w:pPr>
        <w:pStyle w:val="BasicParagraph"/>
        <w:suppressAutoHyphens/>
        <w:rPr>
          <w:rFonts w:ascii="Arial" w:hAnsi="Arial" w:cs="Arial"/>
          <w:sz w:val="18"/>
          <w:szCs w:val="18"/>
        </w:rPr>
      </w:pPr>
      <w:r w:rsidRPr="00617B2C">
        <w:rPr>
          <w:rFonts w:ascii="Arial" w:hAnsi="Arial" w:cs="Arial"/>
          <w:sz w:val="16"/>
          <w:szCs w:val="16"/>
        </w:rPr>
        <w:t xml:space="preserve">TJC, formerly known as The Jordan Company, has worked for more than 40 years with CEOs, founders and entrepreneurs across a range of industries including Consumer &amp; Healthcare, Diversified Industrials, Industrial Technology, Logistics &amp; Supply Chain and Technology &amp; Infrastructure. With $31.8 billion of assets under management as of December 31, 2024, TJC is managed by a senior leadership team that has invested together for over 23 years on over 85 investments. TJC has offices in New York, Chicago, Miami and Stamford. For more information, please visit www.tjclp.com.  </w:t>
      </w:r>
    </w:p>
    <w:p w14:paraId="54D7C540" w14:textId="77777777" w:rsidR="00617B2C" w:rsidRPr="00617B2C" w:rsidRDefault="00617B2C" w:rsidP="00617B2C">
      <w:pPr>
        <w:pStyle w:val="BasicParagraph"/>
        <w:suppressAutoHyphens/>
        <w:rPr>
          <w:rFonts w:ascii="Arial" w:hAnsi="Arial" w:cs="Arial"/>
          <w:sz w:val="18"/>
          <w:szCs w:val="18"/>
        </w:rPr>
      </w:pPr>
    </w:p>
    <w:p w14:paraId="74B70442" w14:textId="77777777" w:rsidR="00617B2C" w:rsidRPr="00617B2C" w:rsidRDefault="00617B2C" w:rsidP="00617B2C">
      <w:pPr>
        <w:pStyle w:val="BasicParagraph"/>
        <w:suppressAutoHyphens/>
        <w:rPr>
          <w:rFonts w:ascii="Arial" w:hAnsi="Arial" w:cs="Arial"/>
          <w:sz w:val="18"/>
          <w:szCs w:val="18"/>
        </w:rPr>
      </w:pPr>
      <w:r w:rsidRPr="00617B2C">
        <w:rPr>
          <w:rFonts w:ascii="Arial" w:hAnsi="Arial" w:cs="Arial"/>
          <w:sz w:val="18"/>
          <w:szCs w:val="18"/>
        </w:rPr>
        <w:t>About Warburg Pincus</w:t>
      </w:r>
    </w:p>
    <w:p w14:paraId="2C2B5A47" w14:textId="77777777" w:rsidR="00617B2C" w:rsidRPr="00617B2C" w:rsidRDefault="00617B2C" w:rsidP="00617B2C">
      <w:pPr>
        <w:pStyle w:val="BasicParagraph"/>
        <w:suppressAutoHyphens/>
        <w:rPr>
          <w:rFonts w:ascii="Arial" w:hAnsi="Arial" w:cs="Arial"/>
          <w:sz w:val="16"/>
          <w:szCs w:val="16"/>
        </w:rPr>
      </w:pPr>
      <w:r w:rsidRPr="00617B2C">
        <w:rPr>
          <w:rFonts w:ascii="Arial" w:hAnsi="Arial" w:cs="Arial"/>
          <w:sz w:val="16"/>
          <w:szCs w:val="16"/>
        </w:rPr>
        <w:t xml:space="preserve">Warburg Pincus is a leading global growth investor. The firm has more than $87 billion in assets under management. The firm’s active portfolio of more than 220 companies is highly diversified by stage, sector, and geography. Warburg Pincus has been an active investor in the aerospace &amp; defense and industrial technology sectors with current and former investments including Accelya, Aquila Air Capital, CAMP Systems, Consolidated Precision Products, </w:t>
      </w:r>
      <w:proofErr w:type="spellStart"/>
      <w:r w:rsidRPr="00617B2C">
        <w:rPr>
          <w:rFonts w:ascii="Arial" w:hAnsi="Arial" w:cs="Arial"/>
          <w:sz w:val="16"/>
          <w:szCs w:val="16"/>
        </w:rPr>
        <w:t>Duravant</w:t>
      </w:r>
      <w:proofErr w:type="spellEnd"/>
      <w:r w:rsidRPr="00617B2C">
        <w:rPr>
          <w:rFonts w:ascii="Arial" w:hAnsi="Arial" w:cs="Arial"/>
          <w:sz w:val="16"/>
          <w:szCs w:val="16"/>
        </w:rPr>
        <w:t xml:space="preserve">, Extant Aerospace, Infinite Electronics, Inmarsat, iNRCORE, Quest Global, </w:t>
      </w:r>
      <w:proofErr w:type="spellStart"/>
      <w:r w:rsidRPr="00617B2C">
        <w:rPr>
          <w:rFonts w:ascii="Arial" w:hAnsi="Arial" w:cs="Arial"/>
          <w:sz w:val="16"/>
          <w:szCs w:val="16"/>
        </w:rPr>
        <w:t>Sundyne</w:t>
      </w:r>
      <w:proofErr w:type="spellEnd"/>
      <w:r w:rsidRPr="00617B2C">
        <w:rPr>
          <w:rFonts w:ascii="Arial" w:hAnsi="Arial" w:cs="Arial"/>
          <w:sz w:val="16"/>
          <w:szCs w:val="16"/>
        </w:rPr>
        <w:t xml:space="preserve">, TransDigm and </w:t>
      </w:r>
      <w:proofErr w:type="spellStart"/>
      <w:r w:rsidRPr="00617B2C">
        <w:rPr>
          <w:rFonts w:ascii="Arial" w:hAnsi="Arial" w:cs="Arial"/>
          <w:sz w:val="16"/>
          <w:szCs w:val="16"/>
        </w:rPr>
        <w:t>Wencor</w:t>
      </w:r>
      <w:proofErr w:type="spellEnd"/>
      <w:r w:rsidRPr="00617B2C">
        <w:rPr>
          <w:rFonts w:ascii="Arial" w:hAnsi="Arial" w:cs="Arial"/>
          <w:sz w:val="16"/>
          <w:szCs w:val="16"/>
        </w:rPr>
        <w:t xml:space="preserve"> Group. The firm is an experienced partner to management teams seeking to build durable companies with sustainable value. Founded in 1966, Warburg Pincus has invested over $120 billion in more than 1,000 companies across its private equity, real estate, and capital solutions strategies. The firm is headquartered in New York with offices in Amsterdam, Beijing, Berlin, Hong Kong, Houston, London, Luxembourg, Mumbai, Mauritius, San Francisco, São Paulo, Shanghai, and Singapore. For more information, please visit www.warburgpincus.com.</w:t>
      </w:r>
    </w:p>
    <w:p w14:paraId="16332AD7" w14:textId="77777777" w:rsidR="00617B2C" w:rsidRPr="00617B2C" w:rsidRDefault="00617B2C" w:rsidP="00617B2C">
      <w:pPr>
        <w:pStyle w:val="BasicParagraph"/>
        <w:suppressAutoHyphens/>
        <w:rPr>
          <w:rFonts w:ascii="Arial" w:hAnsi="Arial" w:cs="Arial"/>
          <w:sz w:val="20"/>
          <w:szCs w:val="20"/>
        </w:rPr>
      </w:pPr>
    </w:p>
    <w:p w14:paraId="43FF33CD" w14:textId="77777777" w:rsidR="00617B2C" w:rsidRPr="00617B2C" w:rsidRDefault="00617B2C" w:rsidP="00617B2C">
      <w:pPr>
        <w:pStyle w:val="BasicParagraph"/>
        <w:suppressAutoHyphens/>
        <w:jc w:val="center"/>
        <w:rPr>
          <w:rFonts w:ascii="Arial" w:hAnsi="Arial" w:cs="Arial"/>
        </w:rPr>
      </w:pPr>
      <w:r w:rsidRPr="00617B2C">
        <w:rPr>
          <w:rFonts w:ascii="Arial" w:hAnsi="Arial" w:cs="Arial"/>
          <w:sz w:val="18"/>
          <w:szCs w:val="18"/>
        </w:rPr>
        <w:t>###</w:t>
      </w:r>
    </w:p>
    <w:p w14:paraId="580BA251" w14:textId="77777777" w:rsidR="00617B2C" w:rsidRPr="00617B2C" w:rsidRDefault="00617B2C">
      <w:pPr>
        <w:rPr>
          <w:rFonts w:ascii="Arial" w:hAnsi="Arial" w:cs="Arial"/>
        </w:rPr>
      </w:pPr>
    </w:p>
    <w:sectPr w:rsidR="00617B2C" w:rsidRPr="00617B2C" w:rsidSect="00617B2C">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6422" w14:textId="77777777" w:rsidR="00F00901" w:rsidRDefault="00F00901" w:rsidP="00617B2C">
      <w:pPr>
        <w:spacing w:after="0" w:line="240" w:lineRule="auto"/>
      </w:pPr>
      <w:r>
        <w:separator/>
      </w:r>
    </w:p>
  </w:endnote>
  <w:endnote w:type="continuationSeparator" w:id="0">
    <w:p w14:paraId="2217D9EA" w14:textId="77777777" w:rsidR="00F00901" w:rsidRDefault="00F00901" w:rsidP="0061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panose1 w:val="02040503050306020203"/>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8505" w14:textId="3594CD37" w:rsidR="00617B2C" w:rsidRDefault="00617B2C">
    <w:pPr>
      <w:pStyle w:val="Footer"/>
    </w:pPr>
    <w:r w:rsidRPr="00617B2C">
      <w:drawing>
        <wp:anchor distT="0" distB="0" distL="114300" distR="114300" simplePos="0" relativeHeight="251661312" behindDoc="0" locked="0" layoutInCell="1" allowOverlap="1" wp14:anchorId="28918B0D" wp14:editId="329156F7">
          <wp:simplePos x="0" y="0"/>
          <wp:positionH relativeFrom="column">
            <wp:posOffset>-952237</wp:posOffset>
          </wp:positionH>
          <wp:positionV relativeFrom="page">
            <wp:posOffset>9257534</wp:posOffset>
          </wp:positionV>
          <wp:extent cx="7806690" cy="803275"/>
          <wp:effectExtent l="0" t="0" r="3810" b="0"/>
          <wp:wrapSquare wrapText="bothSides"/>
          <wp:docPr id="198316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16025" name=""/>
                  <pic:cNvPicPr/>
                </pic:nvPicPr>
                <pic:blipFill>
                  <a:blip r:embed="rId1"/>
                  <a:stretch>
                    <a:fillRect/>
                  </a:stretch>
                </pic:blipFill>
                <pic:spPr>
                  <a:xfrm>
                    <a:off x="0" y="0"/>
                    <a:ext cx="7806690" cy="8032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36AA" w14:textId="77E35587" w:rsidR="00617B2C" w:rsidRDefault="00617B2C">
    <w:pPr>
      <w:pStyle w:val="Footer"/>
    </w:pPr>
    <w:r w:rsidRPr="00617B2C">
      <w:drawing>
        <wp:anchor distT="0" distB="0" distL="114300" distR="114300" simplePos="0" relativeHeight="251659264" behindDoc="0" locked="0" layoutInCell="1" allowOverlap="1" wp14:anchorId="67550D8F" wp14:editId="66C16924">
          <wp:simplePos x="0" y="0"/>
          <wp:positionH relativeFrom="column">
            <wp:posOffset>-926465</wp:posOffset>
          </wp:positionH>
          <wp:positionV relativeFrom="page">
            <wp:posOffset>9237980</wp:posOffset>
          </wp:positionV>
          <wp:extent cx="7806690" cy="803275"/>
          <wp:effectExtent l="0" t="0" r="3810" b="0"/>
          <wp:wrapSquare wrapText="bothSides"/>
          <wp:docPr id="132851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16025" name=""/>
                  <pic:cNvPicPr/>
                </pic:nvPicPr>
                <pic:blipFill>
                  <a:blip r:embed="rId1"/>
                  <a:stretch>
                    <a:fillRect/>
                  </a:stretch>
                </pic:blipFill>
                <pic:spPr>
                  <a:xfrm>
                    <a:off x="0" y="0"/>
                    <a:ext cx="7806690" cy="803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741B" w14:textId="77777777" w:rsidR="00F00901" w:rsidRDefault="00F00901" w:rsidP="00617B2C">
      <w:pPr>
        <w:spacing w:after="0" w:line="240" w:lineRule="auto"/>
      </w:pPr>
      <w:r>
        <w:separator/>
      </w:r>
    </w:p>
  </w:footnote>
  <w:footnote w:type="continuationSeparator" w:id="0">
    <w:p w14:paraId="19D744A2" w14:textId="77777777" w:rsidR="00F00901" w:rsidRDefault="00F00901" w:rsidP="0061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1018" w14:textId="2A1B5E14" w:rsidR="00617B2C" w:rsidRDefault="00617B2C">
    <w:pPr>
      <w:pStyle w:val="Header"/>
    </w:pPr>
    <w:r w:rsidRPr="00617B2C">
      <w:drawing>
        <wp:anchor distT="0" distB="0" distL="114300" distR="114300" simplePos="0" relativeHeight="251658240" behindDoc="0" locked="0" layoutInCell="1" allowOverlap="1" wp14:anchorId="76F4E2EE" wp14:editId="3398E2A8">
          <wp:simplePos x="0" y="0"/>
          <wp:positionH relativeFrom="column">
            <wp:posOffset>-897255</wp:posOffset>
          </wp:positionH>
          <wp:positionV relativeFrom="paragraph">
            <wp:posOffset>-457200</wp:posOffset>
          </wp:positionV>
          <wp:extent cx="7756525" cy="1280160"/>
          <wp:effectExtent l="0" t="0" r="3175" b="2540"/>
          <wp:wrapSquare wrapText="bothSides"/>
          <wp:docPr id="186985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53480" name=""/>
                  <pic:cNvPicPr/>
                </pic:nvPicPr>
                <pic:blipFill>
                  <a:blip r:embed="rId1"/>
                  <a:stretch>
                    <a:fillRect/>
                  </a:stretch>
                </pic:blipFill>
                <pic:spPr>
                  <a:xfrm>
                    <a:off x="0" y="0"/>
                    <a:ext cx="7756525" cy="12801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2C"/>
    <w:rsid w:val="00072A3C"/>
    <w:rsid w:val="001F7ADB"/>
    <w:rsid w:val="00617B2C"/>
    <w:rsid w:val="008C50E7"/>
    <w:rsid w:val="00B077A0"/>
    <w:rsid w:val="00CD4F9B"/>
    <w:rsid w:val="00D35277"/>
    <w:rsid w:val="00F00901"/>
    <w:rsid w:val="00F04571"/>
    <w:rsid w:val="00FF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28F6F"/>
  <w15:chartTrackingRefBased/>
  <w15:docId w15:val="{0D510554-77DF-6240-A9B1-5AFA299E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B2C"/>
    <w:rPr>
      <w:rFonts w:eastAsiaTheme="majorEastAsia" w:cstheme="majorBidi"/>
      <w:color w:val="272727" w:themeColor="text1" w:themeTint="D8"/>
    </w:rPr>
  </w:style>
  <w:style w:type="paragraph" w:styleId="Title">
    <w:name w:val="Title"/>
    <w:basedOn w:val="Normal"/>
    <w:next w:val="Normal"/>
    <w:link w:val="TitleChar"/>
    <w:uiPriority w:val="10"/>
    <w:qFormat/>
    <w:rsid w:val="0061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B2C"/>
    <w:pPr>
      <w:spacing w:before="160"/>
      <w:jc w:val="center"/>
    </w:pPr>
    <w:rPr>
      <w:i/>
      <w:iCs/>
      <w:color w:val="404040" w:themeColor="text1" w:themeTint="BF"/>
    </w:rPr>
  </w:style>
  <w:style w:type="character" w:customStyle="1" w:styleId="QuoteChar">
    <w:name w:val="Quote Char"/>
    <w:basedOn w:val="DefaultParagraphFont"/>
    <w:link w:val="Quote"/>
    <w:uiPriority w:val="29"/>
    <w:rsid w:val="00617B2C"/>
    <w:rPr>
      <w:i/>
      <w:iCs/>
      <w:color w:val="404040" w:themeColor="text1" w:themeTint="BF"/>
    </w:rPr>
  </w:style>
  <w:style w:type="paragraph" w:styleId="ListParagraph">
    <w:name w:val="List Paragraph"/>
    <w:basedOn w:val="Normal"/>
    <w:uiPriority w:val="34"/>
    <w:qFormat/>
    <w:rsid w:val="00617B2C"/>
    <w:pPr>
      <w:ind w:left="720"/>
      <w:contextualSpacing/>
    </w:pPr>
  </w:style>
  <w:style w:type="character" w:styleId="IntenseEmphasis">
    <w:name w:val="Intense Emphasis"/>
    <w:basedOn w:val="DefaultParagraphFont"/>
    <w:uiPriority w:val="21"/>
    <w:qFormat/>
    <w:rsid w:val="00617B2C"/>
    <w:rPr>
      <w:i/>
      <w:iCs/>
      <w:color w:val="0F4761" w:themeColor="accent1" w:themeShade="BF"/>
    </w:rPr>
  </w:style>
  <w:style w:type="paragraph" w:styleId="IntenseQuote">
    <w:name w:val="Intense Quote"/>
    <w:basedOn w:val="Normal"/>
    <w:next w:val="Normal"/>
    <w:link w:val="IntenseQuoteChar"/>
    <w:uiPriority w:val="30"/>
    <w:qFormat/>
    <w:rsid w:val="0061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B2C"/>
    <w:rPr>
      <w:i/>
      <w:iCs/>
      <w:color w:val="0F4761" w:themeColor="accent1" w:themeShade="BF"/>
    </w:rPr>
  </w:style>
  <w:style w:type="character" w:styleId="IntenseReference">
    <w:name w:val="Intense Reference"/>
    <w:basedOn w:val="DefaultParagraphFont"/>
    <w:uiPriority w:val="32"/>
    <w:qFormat/>
    <w:rsid w:val="00617B2C"/>
    <w:rPr>
      <w:b/>
      <w:bCs/>
      <w:smallCaps/>
      <w:color w:val="0F4761" w:themeColor="accent1" w:themeShade="BF"/>
      <w:spacing w:val="5"/>
    </w:rPr>
  </w:style>
  <w:style w:type="paragraph" w:styleId="Header">
    <w:name w:val="header"/>
    <w:basedOn w:val="Normal"/>
    <w:link w:val="HeaderChar"/>
    <w:uiPriority w:val="99"/>
    <w:unhideWhenUsed/>
    <w:rsid w:val="0061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2C"/>
  </w:style>
  <w:style w:type="paragraph" w:styleId="Footer">
    <w:name w:val="footer"/>
    <w:basedOn w:val="Normal"/>
    <w:link w:val="FooterChar"/>
    <w:uiPriority w:val="99"/>
    <w:unhideWhenUsed/>
    <w:rsid w:val="0061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2C"/>
  </w:style>
  <w:style w:type="paragraph" w:customStyle="1" w:styleId="BasicParagraph">
    <w:name w:val="[Basic Paragraph]"/>
    <w:basedOn w:val="Normal"/>
    <w:uiPriority w:val="99"/>
    <w:rsid w:val="00617B2C"/>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Niemi</dc:creator>
  <cp:keywords/>
  <dc:description/>
  <cp:lastModifiedBy>Jessica Niemi</cp:lastModifiedBy>
  <cp:revision>1</cp:revision>
  <dcterms:created xsi:type="dcterms:W3CDTF">2025-04-14T16:34:00Z</dcterms:created>
  <dcterms:modified xsi:type="dcterms:W3CDTF">2025-04-14T16:40:00Z</dcterms:modified>
</cp:coreProperties>
</file>